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C1CF1" w:rsidRDefault="006C1CF1" w:rsidP="00B55D7A">
      <w:pPr>
        <w:pStyle w:val="Podnadpis"/>
        <w:rPr>
          <w:snapToGrid w:val="0"/>
        </w:rPr>
      </w:pPr>
    </w:p>
    <w:p w:rsidR="003B65D4" w:rsidRPr="00711F1D" w:rsidRDefault="00BE5B16" w:rsidP="00711F1D">
      <w:pPr>
        <w:jc w:val="center"/>
        <w:rPr>
          <w:rFonts w:ascii="Calibri" w:hAnsi="Calibri" w:cs="Calibri"/>
          <w:b/>
          <w:snapToGrid w:val="0"/>
          <w:sz w:val="28"/>
          <w:szCs w:val="28"/>
        </w:rPr>
      </w:pPr>
      <w:r w:rsidRPr="00711F1D">
        <w:rPr>
          <w:rFonts w:ascii="Calibri" w:hAnsi="Calibri" w:cs="Calibri"/>
          <w:b/>
          <w:snapToGrid w:val="0"/>
          <w:sz w:val="28"/>
          <w:szCs w:val="28"/>
        </w:rPr>
        <w:t>E</w:t>
      </w:r>
      <w:r w:rsidR="00D16CEE" w:rsidRPr="00711F1D">
        <w:rPr>
          <w:rFonts w:ascii="Calibri" w:hAnsi="Calibri" w:cs="Calibri"/>
          <w:b/>
          <w:snapToGrid w:val="0"/>
          <w:sz w:val="28"/>
          <w:szCs w:val="28"/>
        </w:rPr>
        <w:t xml:space="preserve">. </w:t>
      </w:r>
      <w:r w:rsidR="003B65D4" w:rsidRPr="00711F1D">
        <w:rPr>
          <w:rFonts w:ascii="Calibri" w:hAnsi="Calibri" w:cs="Calibri"/>
          <w:b/>
          <w:snapToGrid w:val="0"/>
          <w:sz w:val="28"/>
          <w:szCs w:val="28"/>
        </w:rPr>
        <w:t xml:space="preserve">  </w:t>
      </w:r>
      <w:r w:rsidR="002A7D56" w:rsidRPr="00711F1D">
        <w:rPr>
          <w:rFonts w:ascii="Calibri" w:hAnsi="Calibri" w:cs="Calibri"/>
          <w:b/>
          <w:snapToGrid w:val="0"/>
          <w:sz w:val="28"/>
          <w:szCs w:val="28"/>
        </w:rPr>
        <w:t>Z á s a d y   o r g a n i z a c e   v ý s t a v b y</w:t>
      </w:r>
    </w:p>
    <w:p w:rsidR="003B65D4" w:rsidRPr="002B2CCC" w:rsidRDefault="003B65D4" w:rsidP="00DE2F95">
      <w:pPr>
        <w:spacing w:line="480" w:lineRule="auto"/>
        <w:jc w:val="both"/>
        <w:rPr>
          <w:rFonts w:ascii="Calibri" w:hAnsi="Calibri"/>
          <w:b/>
          <w:snapToGrid w:val="0"/>
          <w:sz w:val="24"/>
          <w:szCs w:val="24"/>
          <w:u w:val="single"/>
        </w:rPr>
      </w:pPr>
    </w:p>
    <w:p w:rsidR="003B65D4" w:rsidRPr="00DC6079" w:rsidRDefault="00EE6673" w:rsidP="00DE2F95">
      <w:pPr>
        <w:spacing w:line="480" w:lineRule="auto"/>
        <w:ind w:left="283"/>
        <w:jc w:val="both"/>
        <w:outlineLvl w:val="0"/>
        <w:rPr>
          <w:rFonts w:ascii="Calibri" w:hAnsi="Calibri"/>
          <w:b/>
          <w:snapToGrid w:val="0"/>
          <w:sz w:val="28"/>
          <w:szCs w:val="28"/>
        </w:rPr>
      </w:pPr>
      <w:r>
        <w:rPr>
          <w:rFonts w:ascii="Calibri" w:hAnsi="Calibri"/>
          <w:snapToGrid w:val="0"/>
          <w:sz w:val="28"/>
          <w:szCs w:val="28"/>
        </w:rPr>
        <w:tab/>
        <w:t xml:space="preserve">Název </w:t>
      </w:r>
      <w:r w:rsidR="007819D0">
        <w:rPr>
          <w:rFonts w:ascii="Calibri" w:hAnsi="Calibri"/>
          <w:snapToGrid w:val="0"/>
          <w:sz w:val="28"/>
          <w:szCs w:val="28"/>
        </w:rPr>
        <w:t>stavby</w:t>
      </w:r>
      <w:r w:rsidR="00BE2E24" w:rsidRPr="00DC6079">
        <w:rPr>
          <w:rFonts w:ascii="Calibri" w:hAnsi="Calibri"/>
          <w:snapToGrid w:val="0"/>
          <w:sz w:val="28"/>
          <w:szCs w:val="28"/>
        </w:rPr>
        <w:t>:</w:t>
      </w:r>
      <w:r w:rsidR="002B2CCC" w:rsidRPr="00DC6079">
        <w:rPr>
          <w:rFonts w:ascii="Calibri" w:hAnsi="Calibri"/>
          <w:b/>
          <w:snapToGrid w:val="0"/>
          <w:sz w:val="28"/>
          <w:szCs w:val="28"/>
        </w:rPr>
        <w:t xml:space="preserve"> </w:t>
      </w:r>
      <w:r w:rsidR="007819D0">
        <w:rPr>
          <w:rFonts w:ascii="Calibri" w:hAnsi="Calibri"/>
          <w:b/>
          <w:snapToGrid w:val="0"/>
          <w:sz w:val="28"/>
          <w:szCs w:val="28"/>
        </w:rPr>
        <w:t>L</w:t>
      </w:r>
      <w:r w:rsidR="00342513">
        <w:rPr>
          <w:rFonts w:asciiTheme="minorHAnsi" w:hAnsiTheme="minorHAnsi"/>
          <w:b/>
          <w:sz w:val="28"/>
          <w:szCs w:val="28"/>
        </w:rPr>
        <w:t>esní cesta „</w:t>
      </w:r>
      <w:r w:rsidR="005E4065">
        <w:rPr>
          <w:rFonts w:asciiTheme="minorHAnsi" w:hAnsiTheme="minorHAnsi"/>
          <w:b/>
          <w:sz w:val="28"/>
          <w:szCs w:val="28"/>
        </w:rPr>
        <w:t xml:space="preserve">Nad </w:t>
      </w:r>
      <w:proofErr w:type="spellStart"/>
      <w:r w:rsidR="005E4065">
        <w:rPr>
          <w:rFonts w:asciiTheme="minorHAnsi" w:hAnsiTheme="minorHAnsi"/>
          <w:b/>
          <w:sz w:val="28"/>
          <w:szCs w:val="28"/>
        </w:rPr>
        <w:t>Alpinou</w:t>
      </w:r>
      <w:proofErr w:type="spellEnd"/>
      <w:r w:rsidR="005E4065">
        <w:rPr>
          <w:rFonts w:asciiTheme="minorHAnsi" w:hAnsiTheme="minorHAnsi"/>
          <w:b/>
          <w:sz w:val="28"/>
          <w:szCs w:val="28"/>
        </w:rPr>
        <w:t xml:space="preserve"> 2</w:t>
      </w:r>
      <w:r w:rsidR="007C1E8B" w:rsidRPr="007C1E8B">
        <w:rPr>
          <w:rFonts w:asciiTheme="minorHAnsi" w:hAnsiTheme="minorHAnsi"/>
          <w:b/>
          <w:sz w:val="28"/>
          <w:szCs w:val="28"/>
        </w:rPr>
        <w:t>“</w:t>
      </w:r>
    </w:p>
    <w:p w:rsidR="00443024" w:rsidRPr="002B2CCC" w:rsidRDefault="00443024" w:rsidP="00DE2F95">
      <w:pPr>
        <w:spacing w:line="480" w:lineRule="auto"/>
        <w:ind w:left="283"/>
        <w:jc w:val="both"/>
        <w:outlineLvl w:val="0"/>
        <w:rPr>
          <w:rFonts w:ascii="Calibri" w:hAnsi="Calibri"/>
          <w:b/>
          <w:snapToGrid w:val="0"/>
          <w:sz w:val="24"/>
          <w:szCs w:val="24"/>
        </w:rPr>
      </w:pPr>
    </w:p>
    <w:p w:rsidR="009017C0" w:rsidRPr="002B2CCC" w:rsidRDefault="00D16CEE" w:rsidP="00DE2F95">
      <w:pPr>
        <w:tabs>
          <w:tab w:val="left" w:pos="2268"/>
        </w:tabs>
        <w:spacing w:line="480" w:lineRule="auto"/>
        <w:jc w:val="both"/>
        <w:outlineLvl w:val="0"/>
        <w:rPr>
          <w:rFonts w:ascii="Calibri" w:hAnsi="Calibri"/>
          <w:b/>
          <w:snapToGrid w:val="0"/>
          <w:sz w:val="24"/>
          <w:szCs w:val="24"/>
        </w:rPr>
      </w:pPr>
      <w:r w:rsidRPr="002B2CCC">
        <w:rPr>
          <w:rFonts w:ascii="Calibri" w:hAnsi="Calibri"/>
          <w:b/>
          <w:snapToGrid w:val="0"/>
          <w:sz w:val="24"/>
          <w:szCs w:val="24"/>
        </w:rPr>
        <w:t>1</w:t>
      </w:r>
      <w:r w:rsidR="009017C0" w:rsidRPr="002B2CCC">
        <w:rPr>
          <w:rFonts w:ascii="Calibri" w:hAnsi="Calibri"/>
          <w:b/>
          <w:snapToGrid w:val="0"/>
          <w:sz w:val="24"/>
          <w:szCs w:val="24"/>
        </w:rPr>
        <w:t xml:space="preserve">. </w:t>
      </w:r>
      <w:r w:rsidR="002A7D56" w:rsidRPr="002B2CCC">
        <w:rPr>
          <w:rFonts w:ascii="Calibri" w:hAnsi="Calibri"/>
          <w:b/>
          <w:snapToGrid w:val="0"/>
          <w:sz w:val="24"/>
          <w:szCs w:val="24"/>
        </w:rPr>
        <w:t>Veřejný provoz při stavbě</w:t>
      </w:r>
      <w:r w:rsidR="009017C0" w:rsidRPr="002B2CCC">
        <w:rPr>
          <w:rFonts w:ascii="Calibri" w:hAnsi="Calibri"/>
          <w:b/>
          <w:snapToGrid w:val="0"/>
          <w:sz w:val="24"/>
          <w:szCs w:val="24"/>
        </w:rPr>
        <w:t>:</w:t>
      </w:r>
    </w:p>
    <w:p w:rsidR="009017C0" w:rsidRDefault="002A7D56" w:rsidP="00134DBE">
      <w:pPr>
        <w:spacing w:line="480" w:lineRule="auto"/>
        <w:ind w:firstLine="284"/>
        <w:jc w:val="both"/>
        <w:rPr>
          <w:rFonts w:ascii="Calibri" w:hAnsi="Calibri"/>
          <w:snapToGrid w:val="0"/>
          <w:sz w:val="24"/>
          <w:szCs w:val="24"/>
        </w:rPr>
      </w:pPr>
      <w:r w:rsidRPr="002B2CCC">
        <w:rPr>
          <w:rFonts w:ascii="Calibri" w:hAnsi="Calibri"/>
          <w:snapToGrid w:val="0"/>
          <w:sz w:val="24"/>
          <w:szCs w:val="24"/>
        </w:rPr>
        <w:t>Po dobu výstavby bude cesta pro veřejnost uzavřena, staveniště bude označeno inf</w:t>
      </w:r>
      <w:r w:rsidR="009337FA" w:rsidRPr="002B2CCC">
        <w:rPr>
          <w:rFonts w:ascii="Calibri" w:hAnsi="Calibri"/>
          <w:snapToGrid w:val="0"/>
          <w:sz w:val="24"/>
          <w:szCs w:val="24"/>
        </w:rPr>
        <w:t>o</w:t>
      </w:r>
      <w:r w:rsidRPr="002B2CCC">
        <w:rPr>
          <w:rFonts w:ascii="Calibri" w:hAnsi="Calibri"/>
          <w:snapToGrid w:val="0"/>
          <w:sz w:val="24"/>
          <w:szCs w:val="24"/>
        </w:rPr>
        <w:t>rmační a výstražnou tabulkou</w:t>
      </w:r>
      <w:r w:rsidR="00767D12">
        <w:rPr>
          <w:rFonts w:ascii="Calibri" w:hAnsi="Calibri"/>
          <w:snapToGrid w:val="0"/>
          <w:sz w:val="24"/>
          <w:szCs w:val="24"/>
        </w:rPr>
        <w:t>, případně zákazovou páskou</w:t>
      </w:r>
      <w:r w:rsidRPr="002B2CCC">
        <w:rPr>
          <w:rFonts w:ascii="Calibri" w:hAnsi="Calibri"/>
          <w:snapToGrid w:val="0"/>
          <w:sz w:val="24"/>
          <w:szCs w:val="24"/>
        </w:rPr>
        <w:t>.</w:t>
      </w:r>
    </w:p>
    <w:p w:rsidR="00A012DB" w:rsidRPr="002B2CCC" w:rsidRDefault="00A012DB" w:rsidP="004231DE">
      <w:pPr>
        <w:spacing w:line="480" w:lineRule="auto"/>
        <w:ind w:left="340" w:firstLine="369"/>
        <w:jc w:val="both"/>
        <w:rPr>
          <w:rFonts w:ascii="Calibri" w:hAnsi="Calibri"/>
          <w:snapToGrid w:val="0"/>
          <w:sz w:val="24"/>
          <w:szCs w:val="24"/>
        </w:rPr>
      </w:pPr>
    </w:p>
    <w:p w:rsidR="00A012DB" w:rsidRDefault="004C191D" w:rsidP="00755A43">
      <w:pPr>
        <w:spacing w:line="480" w:lineRule="auto"/>
        <w:jc w:val="both"/>
        <w:rPr>
          <w:rFonts w:ascii="Calibri" w:hAnsi="Calibri"/>
          <w:b/>
          <w:snapToGrid w:val="0"/>
          <w:sz w:val="24"/>
          <w:szCs w:val="24"/>
        </w:rPr>
      </w:pPr>
      <w:r w:rsidRPr="002B2CCC">
        <w:rPr>
          <w:rFonts w:ascii="Calibri" w:hAnsi="Calibri"/>
          <w:b/>
          <w:snapToGrid w:val="0"/>
          <w:sz w:val="24"/>
          <w:szCs w:val="24"/>
        </w:rPr>
        <w:t>2</w:t>
      </w:r>
      <w:r w:rsidR="00A012DB" w:rsidRPr="002B2CCC">
        <w:rPr>
          <w:rFonts w:ascii="Calibri" w:hAnsi="Calibri"/>
          <w:b/>
          <w:snapToGrid w:val="0"/>
          <w:sz w:val="24"/>
          <w:szCs w:val="24"/>
        </w:rPr>
        <w:t xml:space="preserve">. </w:t>
      </w:r>
      <w:r w:rsidR="00134DBE">
        <w:rPr>
          <w:rFonts w:ascii="Calibri" w:hAnsi="Calibri"/>
          <w:b/>
          <w:snapToGrid w:val="0"/>
          <w:sz w:val="24"/>
          <w:szCs w:val="24"/>
        </w:rPr>
        <w:t>Věcný a časový postup prací, p</w:t>
      </w:r>
      <w:r w:rsidR="002A7D56" w:rsidRPr="002B2CCC">
        <w:rPr>
          <w:rFonts w:ascii="Calibri" w:hAnsi="Calibri"/>
          <w:b/>
          <w:snapToGrid w:val="0"/>
          <w:sz w:val="24"/>
          <w:szCs w:val="24"/>
        </w:rPr>
        <w:t>řesun hmot a skládky materiálu:</w:t>
      </w:r>
    </w:p>
    <w:p w:rsidR="00067FD9" w:rsidRPr="00067FD9" w:rsidRDefault="00067FD9" w:rsidP="00067FD9">
      <w:pPr>
        <w:spacing w:line="480" w:lineRule="auto"/>
        <w:ind w:firstLine="349"/>
        <w:jc w:val="both"/>
        <w:rPr>
          <w:rFonts w:ascii="Calibri" w:hAnsi="Calibri"/>
          <w:snapToGrid w:val="0"/>
          <w:sz w:val="24"/>
          <w:szCs w:val="24"/>
        </w:rPr>
      </w:pPr>
      <w:r w:rsidRPr="00067FD9">
        <w:rPr>
          <w:rFonts w:ascii="Calibri" w:hAnsi="Calibri"/>
          <w:snapToGrid w:val="0"/>
          <w:sz w:val="24"/>
          <w:szCs w:val="24"/>
        </w:rPr>
        <w:t xml:space="preserve">Harmonogram prací s odhadem časové náročnosti v pracovních dnech </w:t>
      </w:r>
    </w:p>
    <w:p w:rsidR="00067FD9" w:rsidRPr="006C79D5" w:rsidRDefault="00067FD9" w:rsidP="00067FD9">
      <w:pPr>
        <w:pStyle w:val="Odstavecseseznamem"/>
        <w:numPr>
          <w:ilvl w:val="0"/>
          <w:numId w:val="2"/>
        </w:numPr>
        <w:spacing w:line="360" w:lineRule="auto"/>
        <w:ind w:left="709"/>
        <w:jc w:val="both"/>
        <w:rPr>
          <w:rFonts w:asciiTheme="minorHAnsi" w:hAnsiTheme="minorHAnsi" w:cs="Arial"/>
          <w:vertAlign w:val="baseline"/>
        </w:rPr>
      </w:pPr>
      <w:r w:rsidRPr="006C79D5">
        <w:rPr>
          <w:rFonts w:asciiTheme="minorHAnsi" w:hAnsiTheme="minorHAnsi" w:cs="Arial"/>
          <w:vertAlign w:val="baseline"/>
        </w:rPr>
        <w:t>Provedení přípravných prací</w:t>
      </w:r>
      <w:r w:rsidR="00BE5B16">
        <w:rPr>
          <w:rFonts w:asciiTheme="minorHAnsi" w:hAnsiTheme="minorHAnsi" w:cs="Arial"/>
          <w:vertAlign w:val="baseline"/>
        </w:rPr>
        <w:t xml:space="preserve"> (</w:t>
      </w:r>
      <w:r w:rsidR="002614B4">
        <w:rPr>
          <w:rFonts w:asciiTheme="minorHAnsi" w:hAnsiTheme="minorHAnsi" w:cs="Arial"/>
          <w:vertAlign w:val="baseline"/>
        </w:rPr>
        <w:t>5</w:t>
      </w:r>
      <w:r w:rsidR="00BE5B16">
        <w:rPr>
          <w:rFonts w:asciiTheme="minorHAnsi" w:hAnsiTheme="minorHAnsi" w:cs="Arial"/>
          <w:vertAlign w:val="baseline"/>
        </w:rPr>
        <w:t>-</w:t>
      </w:r>
      <w:r w:rsidR="002614B4">
        <w:rPr>
          <w:rFonts w:asciiTheme="minorHAnsi" w:hAnsiTheme="minorHAnsi" w:cs="Arial"/>
          <w:vertAlign w:val="baseline"/>
        </w:rPr>
        <w:t>10</w:t>
      </w:r>
      <w:r>
        <w:rPr>
          <w:rFonts w:asciiTheme="minorHAnsi" w:hAnsiTheme="minorHAnsi" w:cs="Arial"/>
          <w:vertAlign w:val="baseline"/>
        </w:rPr>
        <w:t>)</w:t>
      </w:r>
    </w:p>
    <w:p w:rsidR="00067FD9" w:rsidRPr="006C79D5" w:rsidRDefault="00067FD9" w:rsidP="00067FD9">
      <w:pPr>
        <w:pStyle w:val="Odstavecseseznamem"/>
        <w:numPr>
          <w:ilvl w:val="0"/>
          <w:numId w:val="2"/>
        </w:numPr>
        <w:spacing w:line="360" w:lineRule="auto"/>
        <w:ind w:left="709"/>
        <w:jc w:val="both"/>
        <w:rPr>
          <w:rFonts w:asciiTheme="minorHAnsi" w:hAnsiTheme="minorHAnsi" w:cs="Arial"/>
          <w:vertAlign w:val="baseline"/>
        </w:rPr>
      </w:pPr>
      <w:r w:rsidRPr="006C79D5">
        <w:rPr>
          <w:rFonts w:asciiTheme="minorHAnsi" w:hAnsiTheme="minorHAnsi" w:cs="Arial"/>
          <w:vertAlign w:val="baseline"/>
        </w:rPr>
        <w:t>Provedení zemních prací v trase cesty</w:t>
      </w:r>
      <w:r>
        <w:rPr>
          <w:rFonts w:asciiTheme="minorHAnsi" w:hAnsiTheme="minorHAnsi" w:cs="Arial"/>
          <w:vertAlign w:val="baseline"/>
        </w:rPr>
        <w:t xml:space="preserve"> (</w:t>
      </w:r>
      <w:proofErr w:type="gramStart"/>
      <w:r w:rsidR="005E4065">
        <w:rPr>
          <w:rFonts w:asciiTheme="minorHAnsi" w:hAnsiTheme="minorHAnsi" w:cs="Arial"/>
          <w:vertAlign w:val="baseline"/>
        </w:rPr>
        <w:t>30</w:t>
      </w:r>
      <w:r w:rsidR="002614B4">
        <w:rPr>
          <w:rFonts w:asciiTheme="minorHAnsi" w:hAnsiTheme="minorHAnsi" w:cs="Arial"/>
          <w:vertAlign w:val="baseline"/>
        </w:rPr>
        <w:t xml:space="preserve"> -</w:t>
      </w:r>
      <w:r w:rsidR="005E4065">
        <w:rPr>
          <w:rFonts w:asciiTheme="minorHAnsi" w:hAnsiTheme="minorHAnsi" w:cs="Arial"/>
          <w:vertAlign w:val="baseline"/>
        </w:rPr>
        <w:t>3</w:t>
      </w:r>
      <w:r w:rsidR="002614B4">
        <w:rPr>
          <w:rFonts w:asciiTheme="minorHAnsi" w:hAnsiTheme="minorHAnsi" w:cs="Arial"/>
          <w:vertAlign w:val="baseline"/>
        </w:rPr>
        <w:t>5</w:t>
      </w:r>
      <w:proofErr w:type="gramEnd"/>
      <w:r>
        <w:rPr>
          <w:rFonts w:asciiTheme="minorHAnsi" w:hAnsiTheme="minorHAnsi" w:cs="Arial"/>
          <w:vertAlign w:val="baseline"/>
        </w:rPr>
        <w:t>)</w:t>
      </w:r>
    </w:p>
    <w:p w:rsidR="00067FD9" w:rsidRPr="006C79D5" w:rsidRDefault="00BE5B16" w:rsidP="00067FD9">
      <w:pPr>
        <w:pStyle w:val="Odstavecseseznamem"/>
        <w:numPr>
          <w:ilvl w:val="0"/>
          <w:numId w:val="2"/>
        </w:numPr>
        <w:spacing w:line="360" w:lineRule="auto"/>
        <w:ind w:left="709"/>
        <w:jc w:val="both"/>
        <w:rPr>
          <w:rFonts w:asciiTheme="minorHAnsi" w:hAnsiTheme="minorHAnsi" w:cs="Arial"/>
          <w:vertAlign w:val="baseline"/>
        </w:rPr>
      </w:pPr>
      <w:r>
        <w:rPr>
          <w:rFonts w:asciiTheme="minorHAnsi" w:hAnsiTheme="minorHAnsi" w:cs="Arial"/>
          <w:vertAlign w:val="baseline"/>
        </w:rPr>
        <w:t>Z</w:t>
      </w:r>
      <w:r w:rsidR="00067FD9" w:rsidRPr="006C79D5">
        <w:rPr>
          <w:rFonts w:asciiTheme="minorHAnsi" w:hAnsiTheme="minorHAnsi" w:cs="Arial"/>
          <w:vertAlign w:val="baseline"/>
        </w:rPr>
        <w:t>řízení odvodňovacích objektů</w:t>
      </w:r>
      <w:r>
        <w:rPr>
          <w:rFonts w:asciiTheme="minorHAnsi" w:hAnsiTheme="minorHAnsi" w:cs="Arial"/>
          <w:vertAlign w:val="baseline"/>
        </w:rPr>
        <w:t xml:space="preserve"> (</w:t>
      </w:r>
      <w:r w:rsidR="002614B4">
        <w:rPr>
          <w:rFonts w:asciiTheme="minorHAnsi" w:hAnsiTheme="minorHAnsi" w:cs="Arial"/>
          <w:vertAlign w:val="baseline"/>
        </w:rPr>
        <w:t>3</w:t>
      </w:r>
      <w:r w:rsidR="005E4065">
        <w:rPr>
          <w:rFonts w:asciiTheme="minorHAnsi" w:hAnsiTheme="minorHAnsi" w:cs="Arial"/>
          <w:vertAlign w:val="baseline"/>
        </w:rPr>
        <w:t>5</w:t>
      </w:r>
      <w:r w:rsidR="002614B4">
        <w:rPr>
          <w:rFonts w:asciiTheme="minorHAnsi" w:hAnsiTheme="minorHAnsi" w:cs="Arial"/>
          <w:vertAlign w:val="baseline"/>
        </w:rPr>
        <w:t>-4</w:t>
      </w:r>
      <w:r w:rsidR="005E4065">
        <w:rPr>
          <w:rFonts w:asciiTheme="minorHAnsi" w:hAnsiTheme="minorHAnsi" w:cs="Arial"/>
          <w:vertAlign w:val="baseline"/>
        </w:rPr>
        <w:t>5</w:t>
      </w:r>
      <w:r w:rsidR="00067FD9">
        <w:rPr>
          <w:rFonts w:asciiTheme="minorHAnsi" w:hAnsiTheme="minorHAnsi" w:cs="Arial"/>
          <w:vertAlign w:val="baseline"/>
        </w:rPr>
        <w:t>)</w:t>
      </w:r>
    </w:p>
    <w:p w:rsidR="00067FD9" w:rsidRDefault="00BE5B16" w:rsidP="00BE5B16">
      <w:pPr>
        <w:pStyle w:val="Odstavecseseznamem"/>
        <w:numPr>
          <w:ilvl w:val="0"/>
          <w:numId w:val="2"/>
        </w:numPr>
        <w:spacing w:line="480" w:lineRule="auto"/>
        <w:ind w:left="709"/>
        <w:jc w:val="both"/>
        <w:rPr>
          <w:rFonts w:asciiTheme="minorHAnsi" w:hAnsiTheme="minorHAnsi" w:cs="Arial"/>
          <w:vertAlign w:val="baseline"/>
        </w:rPr>
      </w:pPr>
      <w:r>
        <w:rPr>
          <w:rFonts w:asciiTheme="minorHAnsi" w:hAnsiTheme="minorHAnsi" w:cs="Arial"/>
          <w:vertAlign w:val="baseline"/>
        </w:rPr>
        <w:t>Zřízení</w:t>
      </w:r>
      <w:r w:rsidR="00067FD9" w:rsidRPr="006C79D5">
        <w:rPr>
          <w:rFonts w:asciiTheme="minorHAnsi" w:hAnsiTheme="minorHAnsi" w:cs="Arial"/>
          <w:vertAlign w:val="baseline"/>
        </w:rPr>
        <w:t xml:space="preserve"> vozovky</w:t>
      </w:r>
      <w:r w:rsidR="00067FD9">
        <w:rPr>
          <w:rFonts w:asciiTheme="minorHAnsi" w:hAnsiTheme="minorHAnsi" w:cs="Arial"/>
          <w:vertAlign w:val="baseline"/>
        </w:rPr>
        <w:t xml:space="preserve"> (</w:t>
      </w:r>
      <w:r>
        <w:rPr>
          <w:rFonts w:asciiTheme="minorHAnsi" w:hAnsiTheme="minorHAnsi" w:cs="Arial"/>
          <w:vertAlign w:val="baseline"/>
        </w:rPr>
        <w:t>20-25</w:t>
      </w:r>
      <w:r w:rsidR="00067FD9">
        <w:rPr>
          <w:rFonts w:asciiTheme="minorHAnsi" w:hAnsiTheme="minorHAnsi" w:cs="Arial"/>
          <w:vertAlign w:val="baseline"/>
        </w:rPr>
        <w:t>)</w:t>
      </w:r>
    </w:p>
    <w:p w:rsidR="00BE5B16" w:rsidRPr="00736182" w:rsidRDefault="0008341E" w:rsidP="00BE5B16">
      <w:pPr>
        <w:pStyle w:val="Odstavecseseznamem"/>
        <w:spacing w:line="480" w:lineRule="auto"/>
        <w:ind w:left="0" w:firstLine="426"/>
        <w:jc w:val="both"/>
        <w:rPr>
          <w:rFonts w:asciiTheme="minorHAnsi" w:hAnsiTheme="minorHAnsi"/>
          <w:vertAlign w:val="baseline"/>
        </w:rPr>
      </w:pPr>
      <w:r w:rsidRPr="00736182">
        <w:rPr>
          <w:rFonts w:asciiTheme="minorHAnsi" w:hAnsiTheme="minorHAnsi"/>
          <w:vertAlign w:val="baseline"/>
        </w:rPr>
        <w:t>Příjezd na staveniště je možný ze silnice II</w:t>
      </w:r>
      <w:r w:rsidR="009B759C">
        <w:rPr>
          <w:rFonts w:asciiTheme="minorHAnsi" w:hAnsiTheme="minorHAnsi"/>
          <w:vertAlign w:val="baseline"/>
        </w:rPr>
        <w:t>.</w:t>
      </w:r>
      <w:r w:rsidRPr="00736182">
        <w:rPr>
          <w:rFonts w:asciiTheme="minorHAnsi" w:hAnsiTheme="minorHAnsi"/>
          <w:vertAlign w:val="baseline"/>
        </w:rPr>
        <w:t xml:space="preserve"> třídy </w:t>
      </w:r>
      <w:bookmarkStart w:id="0" w:name="_GoBack"/>
      <w:bookmarkEnd w:id="0"/>
      <w:r w:rsidRPr="00736182">
        <w:rPr>
          <w:rFonts w:asciiTheme="minorHAnsi" w:hAnsiTheme="minorHAnsi"/>
          <w:vertAlign w:val="baseline"/>
        </w:rPr>
        <w:t>č. 295 vedoucí z Vrchlabí do Špindlerova Mlýna a dále po místních účelových komunikacích s živičnou vozovkou, které jsou v majetku města Špindlerův Mlýn ve směru na enklávu Tabulových Bud. A dále po lesních štěrkových cestách v majetku Stavebníka, které vedou až k začátku stavby (km 0,000) - viz</w:t>
      </w:r>
      <w:r w:rsidRPr="00736182">
        <w:rPr>
          <w:rFonts w:asciiTheme="minorHAnsi" w:hAnsiTheme="minorHAnsi" w:cs="Arial"/>
          <w:vertAlign w:val="baseline"/>
        </w:rPr>
        <w:t xml:space="preserve"> příloha </w:t>
      </w:r>
      <w:r w:rsidR="00B55D7A">
        <w:rPr>
          <w:rFonts w:asciiTheme="minorHAnsi" w:hAnsiTheme="minorHAnsi"/>
          <w:vertAlign w:val="baseline"/>
        </w:rPr>
        <w:t>B</w:t>
      </w:r>
      <w:r w:rsidRPr="00736182">
        <w:rPr>
          <w:rFonts w:asciiTheme="minorHAnsi" w:hAnsiTheme="minorHAnsi"/>
          <w:vertAlign w:val="baseline"/>
        </w:rPr>
        <w:t xml:space="preserve">.1. Přehledná situace území </w:t>
      </w:r>
      <w:proofErr w:type="gramStart"/>
      <w:r w:rsidRPr="00736182">
        <w:rPr>
          <w:rFonts w:asciiTheme="minorHAnsi" w:hAnsiTheme="minorHAnsi"/>
          <w:vertAlign w:val="baseline"/>
        </w:rPr>
        <w:t>1 :</w:t>
      </w:r>
      <w:proofErr w:type="gramEnd"/>
      <w:r w:rsidRPr="00736182">
        <w:rPr>
          <w:rFonts w:asciiTheme="minorHAnsi" w:hAnsiTheme="minorHAnsi"/>
          <w:vertAlign w:val="baseline"/>
        </w:rPr>
        <w:t xml:space="preserve"> 25 000. </w:t>
      </w:r>
      <w:r w:rsidRPr="00736182">
        <w:rPr>
          <w:rFonts w:asciiTheme="minorHAnsi" w:hAnsiTheme="minorHAnsi" w:cs="Arial"/>
          <w:vertAlign w:val="baseline"/>
        </w:rPr>
        <w:t>Tato trasa bude použita pro navážení stavebního materiálu a techniky do prostoru staveniště a zpět. Jiná přístupová komunikace není!</w:t>
      </w:r>
    </w:p>
    <w:p w:rsidR="00BE5B16" w:rsidRPr="00BE5B16" w:rsidRDefault="00FA3C5E" w:rsidP="00FA3C5E">
      <w:pPr>
        <w:spacing w:line="480" w:lineRule="auto"/>
        <w:ind w:firstLine="283"/>
        <w:jc w:val="both"/>
        <w:outlineLvl w:val="0"/>
        <w:rPr>
          <w:rFonts w:asciiTheme="minorHAnsi" w:hAnsiTheme="minorHAnsi" w:cs="Arial"/>
          <w:sz w:val="24"/>
          <w:szCs w:val="24"/>
        </w:rPr>
      </w:pPr>
      <w:r w:rsidRPr="00290635">
        <w:rPr>
          <w:rFonts w:asciiTheme="minorHAnsi" w:hAnsiTheme="minorHAnsi" w:cs="Arial"/>
          <w:sz w:val="24"/>
          <w:szCs w:val="24"/>
        </w:rPr>
        <w:t>Nelze předpokládat přímé navážení kameniva z kamenolomu na trasu cesty, proto bude naváženo kamenivo na skládku.</w:t>
      </w:r>
      <w:r w:rsidRPr="00290635">
        <w:rPr>
          <w:rFonts w:asciiTheme="minorHAnsi" w:hAnsiTheme="minorHAnsi" w:cs="Arial"/>
          <w:snapToGrid w:val="0"/>
          <w:sz w:val="24"/>
          <w:szCs w:val="24"/>
        </w:rPr>
        <w:t xml:space="preserve"> </w:t>
      </w:r>
      <w:r w:rsidRPr="00290635">
        <w:rPr>
          <w:rFonts w:asciiTheme="minorHAnsi" w:hAnsiTheme="minorHAnsi"/>
          <w:snapToGrid w:val="0"/>
          <w:sz w:val="24"/>
          <w:szCs w:val="24"/>
        </w:rPr>
        <w:t>Skládka štěrkovin bude na současné zpevněné manipulačně-provozní skládce, na odbočce vpravo</w:t>
      </w:r>
      <w:r w:rsidRPr="009074B3">
        <w:rPr>
          <w:rFonts w:asciiTheme="minorHAnsi" w:hAnsiTheme="minorHAnsi"/>
          <w:snapToGrid w:val="0"/>
          <w:sz w:val="24"/>
          <w:szCs w:val="24"/>
        </w:rPr>
        <w:t xml:space="preserve"> za</w:t>
      </w:r>
      <w:r w:rsidRPr="009074B3">
        <w:rPr>
          <w:rFonts w:asciiTheme="minorHAnsi" w:hAnsiTheme="minorHAnsi"/>
          <w:snapToGrid w:val="0"/>
          <w:color w:val="FF0000"/>
          <w:sz w:val="24"/>
          <w:szCs w:val="24"/>
        </w:rPr>
        <w:t xml:space="preserve"> </w:t>
      </w:r>
      <w:r w:rsidRPr="00C12968">
        <w:rPr>
          <w:rFonts w:asciiTheme="minorHAnsi" w:hAnsiTheme="minorHAnsi"/>
          <w:snapToGrid w:val="0"/>
          <w:sz w:val="24"/>
          <w:szCs w:val="24"/>
        </w:rPr>
        <w:t>„Medvědím kolenem“.</w:t>
      </w:r>
      <w:r w:rsidRPr="00290635">
        <w:rPr>
          <w:rFonts w:asciiTheme="minorHAnsi" w:hAnsiTheme="minorHAnsi"/>
          <w:snapToGrid w:val="0"/>
          <w:sz w:val="24"/>
          <w:szCs w:val="24"/>
        </w:rPr>
        <w:t xml:space="preserve"> Skládka štěrkovin se nachází ve vzdálenosti </w:t>
      </w:r>
      <w:r w:rsidRPr="0043257F">
        <w:rPr>
          <w:rFonts w:asciiTheme="minorHAnsi" w:hAnsiTheme="minorHAnsi"/>
          <w:snapToGrid w:val="0"/>
          <w:sz w:val="24"/>
          <w:szCs w:val="24"/>
        </w:rPr>
        <w:t>do 6 km</w:t>
      </w:r>
      <w:r w:rsidRPr="00290635">
        <w:rPr>
          <w:rFonts w:asciiTheme="minorHAnsi" w:hAnsiTheme="minorHAnsi"/>
          <w:snapToGrid w:val="0"/>
          <w:sz w:val="24"/>
          <w:szCs w:val="24"/>
        </w:rPr>
        <w:t xml:space="preserve"> od začátku stavby.</w:t>
      </w:r>
      <w:r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BE5B16" w:rsidRPr="00BE5B16">
        <w:rPr>
          <w:rFonts w:asciiTheme="minorHAnsi" w:hAnsiTheme="minorHAnsi"/>
          <w:snapToGrid w:val="0"/>
          <w:sz w:val="24"/>
          <w:szCs w:val="24"/>
        </w:rPr>
        <w:t>Objednatel zajistí, aby tato skládka byla před zahájením stavby prázdná a aby po dobu výstavby na ni nebyla soustřeďována žádná dřevní hmota ani jiné kamenivo.</w:t>
      </w:r>
    </w:p>
    <w:p w:rsidR="0014584C" w:rsidRPr="00592716" w:rsidRDefault="0014584C" w:rsidP="0014584C">
      <w:pPr>
        <w:pStyle w:val="Zkladntextodsazen"/>
        <w:spacing w:line="480" w:lineRule="auto"/>
        <w:ind w:left="0"/>
        <w:rPr>
          <w:rFonts w:asciiTheme="minorHAnsi" w:hAnsiTheme="minorHAnsi"/>
          <w:sz w:val="24"/>
          <w:szCs w:val="24"/>
        </w:rPr>
      </w:pPr>
    </w:p>
    <w:p w:rsidR="0014584C" w:rsidRPr="00592716" w:rsidRDefault="0014584C" w:rsidP="0014584C">
      <w:pPr>
        <w:spacing w:line="480" w:lineRule="auto"/>
        <w:jc w:val="both"/>
        <w:rPr>
          <w:rFonts w:asciiTheme="minorHAnsi" w:hAnsiTheme="minorHAnsi"/>
          <w:b/>
          <w:snapToGrid w:val="0"/>
          <w:sz w:val="24"/>
          <w:szCs w:val="24"/>
        </w:rPr>
      </w:pPr>
      <w:r w:rsidRPr="00592716">
        <w:rPr>
          <w:rFonts w:asciiTheme="minorHAnsi" w:hAnsiTheme="minorHAnsi"/>
          <w:b/>
          <w:snapToGrid w:val="0"/>
          <w:sz w:val="24"/>
          <w:szCs w:val="24"/>
        </w:rPr>
        <w:t>3. Nakládání s odpady a vliv na životní prostředí:</w:t>
      </w:r>
    </w:p>
    <w:p w:rsidR="0014584C" w:rsidRPr="00712A53" w:rsidRDefault="0014584C" w:rsidP="0014584C">
      <w:pPr>
        <w:spacing w:line="360" w:lineRule="auto"/>
        <w:ind w:firstLine="709"/>
        <w:jc w:val="both"/>
        <w:rPr>
          <w:sz w:val="24"/>
          <w:szCs w:val="24"/>
        </w:rPr>
      </w:pPr>
      <w:r w:rsidRPr="00592716">
        <w:rPr>
          <w:rFonts w:asciiTheme="minorHAnsi" w:hAnsiTheme="minorHAnsi"/>
          <w:sz w:val="24"/>
          <w:szCs w:val="24"/>
        </w:rPr>
        <w:t xml:space="preserve">Při provádění stavby nevznikne odpad ve smyslu zákona </w:t>
      </w:r>
      <w:r>
        <w:rPr>
          <w:rFonts w:asciiTheme="minorHAnsi" w:hAnsiTheme="minorHAnsi"/>
          <w:sz w:val="24"/>
          <w:szCs w:val="24"/>
        </w:rPr>
        <w:t>č. 185/2001 Sb.</w:t>
      </w:r>
      <w:r w:rsidRPr="0038333A">
        <w:rPr>
          <w:rFonts w:asciiTheme="minorHAnsi" w:hAnsiTheme="minorHAnsi"/>
          <w:color w:val="FF0000"/>
          <w:sz w:val="24"/>
          <w:szCs w:val="24"/>
        </w:rPr>
        <w:t xml:space="preserve"> </w:t>
      </w:r>
      <w:r w:rsidRPr="00C11985">
        <w:rPr>
          <w:rFonts w:asciiTheme="minorHAnsi" w:hAnsiTheme="minorHAnsi" w:cstheme="minorHAnsi"/>
          <w:sz w:val="24"/>
          <w:szCs w:val="24"/>
        </w:rPr>
        <w:t>Zákon o odpadech</w:t>
      </w:r>
      <w:r w:rsidR="00C11985" w:rsidRPr="00C11985">
        <w:rPr>
          <w:rFonts w:asciiTheme="minorHAnsi" w:hAnsiTheme="minorHAnsi" w:cstheme="minorHAnsi"/>
          <w:sz w:val="24"/>
          <w:szCs w:val="24"/>
        </w:rPr>
        <w:t xml:space="preserve"> a o změně některých dalších zákonů, v platném znění</w:t>
      </w:r>
      <w:r w:rsidRPr="00C11985">
        <w:rPr>
          <w:rFonts w:asciiTheme="minorHAnsi" w:hAnsiTheme="minorHAnsi" w:cstheme="minorHAnsi"/>
          <w:sz w:val="24"/>
          <w:szCs w:val="24"/>
        </w:rPr>
        <w:t>.</w:t>
      </w:r>
      <w:r w:rsidRPr="00592716">
        <w:rPr>
          <w:rFonts w:asciiTheme="minorHAnsi" w:hAnsiTheme="minorHAnsi"/>
          <w:sz w:val="24"/>
          <w:szCs w:val="24"/>
        </w:rPr>
        <w:t xml:space="preserve"> Rekonstrukce cesty se provádí z důvodu umožnění řádného hospodaření v přilehlých lesních porostech.</w:t>
      </w:r>
    </w:p>
    <w:p w:rsidR="0014584C" w:rsidRPr="00592716" w:rsidRDefault="0014584C" w:rsidP="0014584C">
      <w:pPr>
        <w:pStyle w:val="Zkladntextodsazen3"/>
        <w:spacing w:line="480" w:lineRule="auto"/>
        <w:rPr>
          <w:rFonts w:asciiTheme="minorHAnsi" w:hAnsiTheme="minorHAnsi"/>
          <w:sz w:val="24"/>
          <w:szCs w:val="24"/>
          <w:u w:val="none"/>
        </w:rPr>
      </w:pPr>
    </w:p>
    <w:p w:rsidR="0014584C" w:rsidRPr="00592716" w:rsidRDefault="0014584C" w:rsidP="0014584C">
      <w:pPr>
        <w:spacing w:line="480" w:lineRule="auto"/>
        <w:jc w:val="both"/>
        <w:rPr>
          <w:rFonts w:asciiTheme="minorHAnsi" w:hAnsiTheme="minorHAnsi"/>
          <w:b/>
          <w:snapToGrid w:val="0"/>
          <w:sz w:val="24"/>
          <w:szCs w:val="24"/>
        </w:rPr>
      </w:pPr>
      <w:r w:rsidRPr="00592716">
        <w:rPr>
          <w:rFonts w:asciiTheme="minorHAnsi" w:hAnsiTheme="minorHAnsi"/>
          <w:b/>
          <w:snapToGrid w:val="0"/>
          <w:sz w:val="24"/>
          <w:szCs w:val="24"/>
        </w:rPr>
        <w:t>4. Obvod staveniště:</w:t>
      </w:r>
    </w:p>
    <w:p w:rsidR="0014584C" w:rsidRDefault="0014584C" w:rsidP="002614B4">
      <w:pPr>
        <w:spacing w:line="360" w:lineRule="auto"/>
        <w:ind w:left="340" w:firstLine="369"/>
        <w:jc w:val="both"/>
        <w:rPr>
          <w:rFonts w:asciiTheme="minorHAnsi" w:hAnsiTheme="minorHAnsi"/>
          <w:sz w:val="24"/>
          <w:szCs w:val="24"/>
        </w:rPr>
      </w:pPr>
      <w:r w:rsidRPr="00592716">
        <w:rPr>
          <w:rFonts w:asciiTheme="minorHAnsi" w:hAnsiTheme="minorHAnsi"/>
          <w:sz w:val="24"/>
          <w:szCs w:val="24"/>
        </w:rPr>
        <w:t>Obvod staveniště je dán šířkou tělesa cesty, včetně odvodňovacích objektů</w:t>
      </w:r>
      <w:r w:rsidR="005E4065">
        <w:rPr>
          <w:rFonts w:asciiTheme="minorHAnsi" w:hAnsiTheme="minorHAnsi"/>
          <w:sz w:val="24"/>
          <w:szCs w:val="24"/>
        </w:rPr>
        <w:t xml:space="preserve"> </w:t>
      </w:r>
      <w:r w:rsidR="002614B4">
        <w:rPr>
          <w:rFonts w:asciiTheme="minorHAnsi" w:hAnsiTheme="minorHAnsi"/>
          <w:sz w:val="24"/>
          <w:szCs w:val="24"/>
        </w:rPr>
        <w:t xml:space="preserve">a </w:t>
      </w:r>
      <w:r w:rsidRPr="00592716">
        <w:rPr>
          <w:rFonts w:asciiTheme="minorHAnsi" w:hAnsiTheme="minorHAnsi"/>
          <w:sz w:val="24"/>
          <w:szCs w:val="24"/>
        </w:rPr>
        <w:t xml:space="preserve">obratiště viz příloha </w:t>
      </w:r>
      <w:r w:rsidR="001936A9">
        <w:rPr>
          <w:rFonts w:asciiTheme="minorHAnsi" w:hAnsiTheme="minorHAnsi"/>
          <w:sz w:val="24"/>
          <w:szCs w:val="24"/>
        </w:rPr>
        <w:t>B.</w:t>
      </w:r>
      <w:r w:rsidR="005E4065">
        <w:rPr>
          <w:rFonts w:asciiTheme="minorHAnsi" w:hAnsiTheme="minorHAnsi"/>
          <w:sz w:val="24"/>
          <w:szCs w:val="24"/>
        </w:rPr>
        <w:t>3</w:t>
      </w:r>
      <w:r w:rsidRPr="00592716">
        <w:rPr>
          <w:rFonts w:asciiTheme="minorHAnsi" w:hAnsiTheme="minorHAnsi"/>
          <w:sz w:val="24"/>
          <w:szCs w:val="24"/>
        </w:rPr>
        <w:t>.</w:t>
      </w:r>
      <w:r w:rsidR="002614B4">
        <w:rPr>
          <w:rFonts w:asciiTheme="minorHAnsi" w:hAnsiTheme="minorHAnsi"/>
          <w:sz w:val="24"/>
          <w:szCs w:val="24"/>
        </w:rPr>
        <w:t xml:space="preserve"> Koordinační situace stavby.</w:t>
      </w:r>
    </w:p>
    <w:p w:rsidR="0014584C" w:rsidRPr="00592716" w:rsidRDefault="0014584C" w:rsidP="0014584C">
      <w:pPr>
        <w:spacing w:line="480" w:lineRule="auto"/>
        <w:ind w:left="340" w:firstLine="369"/>
        <w:jc w:val="both"/>
        <w:rPr>
          <w:rFonts w:asciiTheme="minorHAnsi" w:hAnsiTheme="minorHAnsi"/>
          <w:sz w:val="24"/>
          <w:szCs w:val="24"/>
        </w:rPr>
      </w:pPr>
    </w:p>
    <w:p w:rsidR="0014584C" w:rsidRDefault="0014584C" w:rsidP="0014584C">
      <w:pPr>
        <w:spacing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592716">
        <w:rPr>
          <w:rFonts w:asciiTheme="minorHAnsi" w:hAnsiTheme="minorHAnsi"/>
          <w:b/>
          <w:snapToGrid w:val="0"/>
          <w:sz w:val="24"/>
          <w:szCs w:val="24"/>
        </w:rPr>
        <w:t xml:space="preserve">5. Posouzení plnění povinností zadavatele stavby podle </w:t>
      </w:r>
      <w:r w:rsidRPr="006F6BE7">
        <w:rPr>
          <w:rFonts w:asciiTheme="minorHAnsi" w:hAnsiTheme="minorHAnsi"/>
          <w:b/>
          <w:snapToGrid w:val="0"/>
          <w:sz w:val="24"/>
          <w:szCs w:val="24"/>
        </w:rPr>
        <w:t>zák. č. 309/2006 Sb.</w:t>
      </w:r>
      <w:r>
        <w:rPr>
          <w:rFonts w:asciiTheme="minorHAnsi" w:hAnsiTheme="minorHAnsi"/>
          <w:b/>
          <w:snapToGrid w:val="0"/>
          <w:color w:val="FF0000"/>
          <w:sz w:val="24"/>
          <w:szCs w:val="24"/>
        </w:rPr>
        <w:t xml:space="preserve"> </w:t>
      </w:r>
      <w:r w:rsidRPr="0051455E">
        <w:rPr>
          <w:rFonts w:ascii="Calibri" w:eastAsia="Calibri" w:hAnsi="Calibri" w:cs="Arial"/>
          <w:b/>
          <w:iCs/>
          <w:color w:val="070707"/>
          <w:kern w:val="36"/>
          <w:sz w:val="24"/>
          <w:szCs w:val="24"/>
          <w:lang w:eastAsia="en-US"/>
        </w:rPr>
        <w:t>Zákon,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</w:t>
      </w:r>
      <w:r w:rsidR="00801CC5">
        <w:rPr>
          <w:rFonts w:ascii="Calibri" w:eastAsia="Calibri" w:hAnsi="Calibri" w:cs="Arial"/>
          <w:b/>
          <w:iCs/>
          <w:color w:val="070707"/>
          <w:kern w:val="36"/>
          <w:sz w:val="24"/>
          <w:szCs w:val="24"/>
          <w:lang w:eastAsia="en-US"/>
        </w:rPr>
        <w:t>, v platném znění</w:t>
      </w:r>
      <w:r>
        <w:rPr>
          <w:rFonts w:ascii="Calibri" w:eastAsia="Calibri" w:hAnsi="Calibri" w:cs="Arial"/>
          <w:b/>
          <w:iCs/>
          <w:color w:val="070707"/>
          <w:kern w:val="36"/>
          <w:sz w:val="24"/>
          <w:szCs w:val="24"/>
          <w:lang w:eastAsia="en-US"/>
        </w:rPr>
        <w:t>:</w:t>
      </w:r>
    </w:p>
    <w:p w:rsidR="0014584C" w:rsidRPr="003E6F7C" w:rsidRDefault="0014584C" w:rsidP="0014584C">
      <w:pPr>
        <w:spacing w:line="276" w:lineRule="auto"/>
        <w:jc w:val="both"/>
        <w:rPr>
          <w:rFonts w:ascii="Calibri" w:eastAsia="Calibri" w:hAnsi="Calibri"/>
          <w:b/>
          <w:sz w:val="24"/>
          <w:szCs w:val="24"/>
          <w:lang w:eastAsia="en-US"/>
        </w:rPr>
      </w:pPr>
      <w:r w:rsidRPr="00592716">
        <w:rPr>
          <w:rFonts w:asciiTheme="minorHAnsi" w:hAnsiTheme="minorHAnsi"/>
          <w:b/>
          <w:snapToGrid w:val="0"/>
          <w:sz w:val="24"/>
          <w:szCs w:val="24"/>
        </w:rPr>
        <w:t xml:space="preserve"> </w:t>
      </w:r>
    </w:p>
    <w:p w:rsidR="0014584C" w:rsidRPr="00592716" w:rsidRDefault="0014584C" w:rsidP="0014584C">
      <w:pPr>
        <w:pStyle w:val="Zkladntextodsazen3"/>
        <w:spacing w:line="480" w:lineRule="auto"/>
        <w:rPr>
          <w:rFonts w:asciiTheme="minorHAnsi" w:hAnsiTheme="minorHAnsi"/>
          <w:sz w:val="24"/>
          <w:szCs w:val="24"/>
          <w:u w:val="none"/>
        </w:rPr>
      </w:pPr>
      <w:r w:rsidRPr="00592716">
        <w:rPr>
          <w:rFonts w:asciiTheme="minorHAnsi" w:hAnsiTheme="minorHAnsi"/>
          <w:sz w:val="24"/>
          <w:szCs w:val="24"/>
          <w:u w:val="none"/>
        </w:rPr>
        <w:t>Jedná se o jednoduchou stavbu v náročných terénních podmínkách, s nízkou náročností na koordinaci a neobsahující žádná technologická zařízení, svým rozsahem nepodléhá povinnosti ohlášení o zahájení prac</w:t>
      </w:r>
      <w:r>
        <w:rPr>
          <w:rFonts w:asciiTheme="minorHAnsi" w:hAnsiTheme="minorHAnsi"/>
          <w:sz w:val="24"/>
          <w:szCs w:val="24"/>
          <w:u w:val="none"/>
        </w:rPr>
        <w:t>í oblastnímu inspektorátu práce, ani nevyžaduje koordinátora BOZP.</w:t>
      </w:r>
    </w:p>
    <w:p w:rsidR="0014584C" w:rsidRPr="00592716" w:rsidRDefault="0014584C" w:rsidP="0014584C">
      <w:pPr>
        <w:pStyle w:val="Zkladntextodsazen3"/>
        <w:spacing w:line="480" w:lineRule="auto"/>
        <w:rPr>
          <w:rFonts w:asciiTheme="minorHAnsi" w:hAnsiTheme="minorHAnsi"/>
          <w:sz w:val="24"/>
          <w:szCs w:val="24"/>
        </w:rPr>
      </w:pPr>
    </w:p>
    <w:p w:rsidR="0014584C" w:rsidRPr="00592716" w:rsidRDefault="0014584C" w:rsidP="0014584C">
      <w:pPr>
        <w:spacing w:line="480" w:lineRule="auto"/>
        <w:jc w:val="both"/>
        <w:rPr>
          <w:rFonts w:asciiTheme="minorHAnsi" w:hAnsiTheme="minorHAnsi"/>
          <w:snapToGrid w:val="0"/>
          <w:sz w:val="24"/>
          <w:szCs w:val="24"/>
        </w:rPr>
      </w:pPr>
    </w:p>
    <w:p w:rsidR="0014584C" w:rsidRPr="00592716" w:rsidRDefault="0014584C" w:rsidP="0014584C">
      <w:pPr>
        <w:spacing w:line="480" w:lineRule="auto"/>
        <w:jc w:val="both"/>
        <w:rPr>
          <w:rFonts w:asciiTheme="minorHAnsi" w:hAnsiTheme="minorHAnsi"/>
          <w:sz w:val="24"/>
          <w:szCs w:val="24"/>
        </w:rPr>
      </w:pPr>
      <w:r w:rsidRPr="00592716">
        <w:rPr>
          <w:rFonts w:asciiTheme="minorHAnsi" w:hAnsiTheme="minorHAnsi"/>
          <w:snapToGrid w:val="0"/>
          <w:sz w:val="24"/>
          <w:szCs w:val="24"/>
        </w:rPr>
        <w:tab/>
        <w:t>V Hořicích dne</w:t>
      </w:r>
      <w:r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462282">
        <w:rPr>
          <w:rFonts w:asciiTheme="minorHAnsi" w:hAnsiTheme="minorHAnsi"/>
          <w:snapToGrid w:val="0"/>
          <w:sz w:val="24"/>
          <w:szCs w:val="24"/>
        </w:rPr>
        <w:t>9</w:t>
      </w:r>
      <w:r w:rsidRPr="00592716">
        <w:rPr>
          <w:rFonts w:asciiTheme="minorHAnsi" w:hAnsiTheme="minorHAnsi"/>
          <w:snapToGrid w:val="0"/>
          <w:sz w:val="24"/>
          <w:szCs w:val="24"/>
        </w:rPr>
        <w:t>.</w:t>
      </w:r>
      <w:r>
        <w:rPr>
          <w:rFonts w:asciiTheme="minorHAnsi" w:hAnsiTheme="minorHAnsi"/>
          <w:snapToGrid w:val="0"/>
          <w:sz w:val="24"/>
          <w:szCs w:val="24"/>
        </w:rPr>
        <w:t xml:space="preserve"> </w:t>
      </w:r>
      <w:r w:rsidR="002614B4">
        <w:rPr>
          <w:rFonts w:asciiTheme="minorHAnsi" w:hAnsiTheme="minorHAnsi"/>
          <w:snapToGrid w:val="0"/>
          <w:sz w:val="24"/>
          <w:szCs w:val="24"/>
        </w:rPr>
        <w:t>1</w:t>
      </w:r>
      <w:r>
        <w:rPr>
          <w:rFonts w:asciiTheme="minorHAnsi" w:hAnsiTheme="minorHAnsi"/>
          <w:snapToGrid w:val="0"/>
          <w:sz w:val="24"/>
          <w:szCs w:val="24"/>
        </w:rPr>
        <w:t>2</w:t>
      </w:r>
      <w:r w:rsidRPr="00592716">
        <w:rPr>
          <w:rFonts w:asciiTheme="minorHAnsi" w:hAnsiTheme="minorHAnsi"/>
          <w:snapToGrid w:val="0"/>
          <w:sz w:val="24"/>
          <w:szCs w:val="24"/>
        </w:rPr>
        <w:t xml:space="preserve">. </w:t>
      </w:r>
      <w:r>
        <w:rPr>
          <w:rFonts w:asciiTheme="minorHAnsi" w:hAnsiTheme="minorHAnsi"/>
          <w:snapToGrid w:val="0"/>
          <w:sz w:val="24"/>
          <w:szCs w:val="24"/>
        </w:rPr>
        <w:t>2017</w:t>
      </w:r>
      <w:r w:rsidRPr="00592716">
        <w:rPr>
          <w:rFonts w:asciiTheme="minorHAnsi" w:hAnsiTheme="minorHAnsi"/>
          <w:snapToGrid w:val="0"/>
          <w:sz w:val="24"/>
          <w:szCs w:val="24"/>
        </w:rPr>
        <w:tab/>
      </w:r>
      <w:r w:rsidRPr="00592716">
        <w:rPr>
          <w:rFonts w:asciiTheme="minorHAnsi" w:hAnsiTheme="minorHAnsi"/>
          <w:snapToGrid w:val="0"/>
          <w:sz w:val="24"/>
          <w:szCs w:val="24"/>
        </w:rPr>
        <w:tab/>
      </w:r>
      <w:r w:rsidRPr="00592716">
        <w:rPr>
          <w:rFonts w:asciiTheme="minorHAnsi" w:hAnsiTheme="minorHAnsi"/>
          <w:snapToGrid w:val="0"/>
          <w:sz w:val="24"/>
          <w:szCs w:val="24"/>
        </w:rPr>
        <w:tab/>
      </w:r>
      <w:r w:rsidRPr="00592716">
        <w:rPr>
          <w:rFonts w:asciiTheme="minorHAnsi" w:hAnsiTheme="minorHAnsi"/>
          <w:snapToGrid w:val="0"/>
          <w:sz w:val="24"/>
          <w:szCs w:val="24"/>
        </w:rPr>
        <w:tab/>
      </w:r>
      <w:r w:rsidRPr="00592716">
        <w:rPr>
          <w:rFonts w:asciiTheme="minorHAnsi" w:hAnsiTheme="minorHAnsi"/>
          <w:snapToGrid w:val="0"/>
          <w:sz w:val="24"/>
          <w:szCs w:val="24"/>
        </w:rPr>
        <w:tab/>
        <w:t>Ing. Jiří Ježek</w:t>
      </w:r>
    </w:p>
    <w:p w:rsidR="003B65D4" w:rsidRPr="002B2CCC" w:rsidRDefault="003B65D4" w:rsidP="0014584C">
      <w:pPr>
        <w:pStyle w:val="Zkladntextodsazen"/>
        <w:spacing w:line="480" w:lineRule="auto"/>
        <w:ind w:left="0"/>
        <w:rPr>
          <w:rFonts w:ascii="Calibri" w:hAnsi="Calibri"/>
          <w:sz w:val="24"/>
          <w:szCs w:val="24"/>
        </w:rPr>
      </w:pPr>
    </w:p>
    <w:sectPr w:rsidR="003B65D4" w:rsidRPr="002B2CCC" w:rsidSect="00E91CAC">
      <w:headerReference w:type="even" r:id="rId7"/>
      <w:headerReference w:type="default" r:id="rId8"/>
      <w:footerReference w:type="default" r:id="rId9"/>
      <w:headerReference w:type="first" r:id="rId10"/>
      <w:footerReference w:type="first" r:id="rId11"/>
      <w:pgSz w:w="11907" w:h="16840"/>
      <w:pgMar w:top="1134" w:right="851" w:bottom="851" w:left="1134" w:header="567" w:footer="573" w:gutter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45573" w:rsidRDefault="00145573">
      <w:r>
        <w:separator/>
      </w:r>
    </w:p>
  </w:endnote>
  <w:endnote w:type="continuationSeparator" w:id="0">
    <w:p w:rsidR="00145573" w:rsidRDefault="00145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F66" w:rsidRDefault="00C12F66" w:rsidP="00C12F66">
    <w:pPr>
      <w:pStyle w:val="Zpat"/>
    </w:pPr>
    <w:r>
      <w:tab/>
    </w:r>
    <w:sdt>
      <w:sdtPr>
        <w:id w:val="609434465"/>
        <w:docPartObj>
          <w:docPartGallery w:val="Page Numbers (Bottom of Page)"/>
          <w:docPartUnique/>
        </w:docPartObj>
      </w:sdtPr>
      <w:sdtEndPr/>
      <w:sdtContent>
        <w:r w:rsidR="00C549BF" w:rsidRPr="007474D1">
          <w:rPr>
            <w:rFonts w:asciiTheme="minorHAnsi" w:hAnsiTheme="minorHAnsi" w:cstheme="minorHAnsi"/>
          </w:rPr>
          <w:fldChar w:fldCharType="begin"/>
        </w:r>
        <w:r w:rsidR="00B3340E" w:rsidRPr="007474D1">
          <w:rPr>
            <w:rFonts w:asciiTheme="minorHAnsi" w:hAnsiTheme="minorHAnsi" w:cstheme="minorHAnsi"/>
          </w:rPr>
          <w:instrText xml:space="preserve"> PAGE   \* MERGEFORMAT </w:instrText>
        </w:r>
        <w:r w:rsidR="00C549BF" w:rsidRPr="007474D1">
          <w:rPr>
            <w:rFonts w:asciiTheme="minorHAnsi" w:hAnsiTheme="minorHAnsi" w:cstheme="minorHAnsi"/>
          </w:rPr>
          <w:fldChar w:fldCharType="separate"/>
        </w:r>
        <w:r w:rsidR="009B759C">
          <w:rPr>
            <w:rFonts w:asciiTheme="minorHAnsi" w:hAnsiTheme="minorHAnsi" w:cstheme="minorHAnsi"/>
            <w:noProof/>
          </w:rPr>
          <w:t>2</w:t>
        </w:r>
        <w:r w:rsidR="00C549BF" w:rsidRPr="007474D1">
          <w:rPr>
            <w:rFonts w:asciiTheme="minorHAnsi" w:hAnsiTheme="minorHAnsi" w:cstheme="minorHAnsi"/>
            <w:noProof/>
          </w:rPr>
          <w:fldChar w:fldCharType="end"/>
        </w:r>
      </w:sdtContent>
    </w:sdt>
  </w:p>
  <w:p w:rsidR="00C12F66" w:rsidRDefault="00C12F6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12F66" w:rsidRDefault="00C12F66" w:rsidP="00C12F66">
    <w:pPr>
      <w:pStyle w:val="Zpat"/>
    </w:pPr>
    <w:r>
      <w:tab/>
    </w:r>
    <w:sdt>
      <w:sdtPr>
        <w:id w:val="609434458"/>
        <w:docPartObj>
          <w:docPartGallery w:val="Page Numbers (Bottom of Page)"/>
          <w:docPartUnique/>
        </w:docPartObj>
      </w:sdtPr>
      <w:sdtEndPr/>
      <w:sdtContent>
        <w:r w:rsidR="00C549BF" w:rsidRPr="007474D1">
          <w:rPr>
            <w:rFonts w:asciiTheme="minorHAnsi" w:hAnsiTheme="minorHAnsi" w:cstheme="minorHAnsi"/>
          </w:rPr>
          <w:fldChar w:fldCharType="begin"/>
        </w:r>
        <w:r w:rsidR="00B3340E" w:rsidRPr="007474D1">
          <w:rPr>
            <w:rFonts w:asciiTheme="minorHAnsi" w:hAnsiTheme="minorHAnsi" w:cstheme="minorHAnsi"/>
          </w:rPr>
          <w:instrText xml:space="preserve"> PAGE   \* MERGEFORMAT </w:instrText>
        </w:r>
        <w:r w:rsidR="00C549BF" w:rsidRPr="007474D1">
          <w:rPr>
            <w:rFonts w:asciiTheme="minorHAnsi" w:hAnsiTheme="minorHAnsi" w:cstheme="minorHAnsi"/>
          </w:rPr>
          <w:fldChar w:fldCharType="separate"/>
        </w:r>
        <w:r w:rsidR="009B759C">
          <w:rPr>
            <w:rFonts w:asciiTheme="minorHAnsi" w:hAnsiTheme="minorHAnsi" w:cstheme="minorHAnsi"/>
            <w:noProof/>
          </w:rPr>
          <w:t>1</w:t>
        </w:r>
        <w:r w:rsidR="00C549BF" w:rsidRPr="007474D1">
          <w:rPr>
            <w:rFonts w:asciiTheme="minorHAnsi" w:hAnsiTheme="minorHAnsi" w:cstheme="minorHAnsi"/>
            <w:noProof/>
          </w:rPr>
          <w:fldChar w:fldCharType="end"/>
        </w:r>
      </w:sdtContent>
    </w:sdt>
  </w:p>
  <w:p w:rsidR="00C12F66" w:rsidRDefault="00C12F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45573" w:rsidRDefault="00145573">
      <w:r>
        <w:separator/>
      </w:r>
    </w:p>
  </w:footnote>
  <w:footnote w:type="continuationSeparator" w:id="0">
    <w:p w:rsidR="00145573" w:rsidRDefault="001455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5D4" w:rsidRDefault="00C549BF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B65D4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3B65D4">
      <w:rPr>
        <w:rStyle w:val="slostrnky"/>
        <w:noProof/>
      </w:rPr>
      <w:t>1</w:t>
    </w:r>
    <w:r>
      <w:rPr>
        <w:rStyle w:val="slostrnky"/>
      </w:rPr>
      <w:fldChar w:fldCharType="end"/>
    </w:r>
  </w:p>
  <w:p w:rsidR="003B65D4" w:rsidRDefault="003B65D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65D4" w:rsidRDefault="003B65D4">
    <w:pPr>
      <w:pStyle w:val="Zhlav"/>
      <w:framePr w:wrap="around" w:vAnchor="text" w:hAnchor="margin" w:xAlign="center" w:y="1"/>
      <w:rPr>
        <w:rStyle w:val="slostrnky"/>
      </w:rPr>
    </w:pPr>
  </w:p>
  <w:p w:rsidR="003B65D4" w:rsidRDefault="007474D1" w:rsidP="00C12F66">
    <w:pPr>
      <w:pStyle w:val="Zhlav"/>
      <w:rPr>
        <w:sz w:val="18"/>
      </w:rPr>
    </w:pPr>
    <w:r>
      <w:rPr>
        <w:sz w:val="18"/>
      </w:rPr>
      <w:tab/>
    </w:r>
    <w:r>
      <w:rPr>
        <w:sz w:val="18"/>
      </w:rPr>
      <w:tab/>
    </w:r>
    <w:r w:rsidR="005E4065">
      <w:rPr>
        <w:rFonts w:ascii="Calibri" w:hAnsi="Calibri" w:cs="Calibri"/>
      </w:rPr>
      <w:t>stavba</w:t>
    </w:r>
    <w:r w:rsidR="005E4065" w:rsidRPr="005A35A9">
      <w:rPr>
        <w:rFonts w:ascii="Calibri" w:hAnsi="Calibri" w:cs="Calibri"/>
      </w:rPr>
      <w:t xml:space="preserve">: </w:t>
    </w:r>
    <w:r w:rsidR="005E4065">
      <w:rPr>
        <w:rFonts w:ascii="Calibri" w:hAnsi="Calibri" w:cs="Calibri"/>
      </w:rPr>
      <w:t xml:space="preserve">Lesní cesta </w:t>
    </w:r>
    <w:r w:rsidR="005E4065" w:rsidRPr="005A35A9">
      <w:rPr>
        <w:rFonts w:ascii="Calibri" w:hAnsi="Calibri" w:cs="Calibri"/>
      </w:rPr>
      <w:t>„</w:t>
    </w:r>
    <w:r w:rsidR="005E4065">
      <w:rPr>
        <w:rFonts w:ascii="Calibri" w:hAnsi="Calibri" w:cs="Calibri"/>
      </w:rPr>
      <w:t xml:space="preserve">Nad </w:t>
    </w:r>
    <w:proofErr w:type="spellStart"/>
    <w:r w:rsidR="005E4065">
      <w:rPr>
        <w:rFonts w:ascii="Calibri" w:hAnsi="Calibri" w:cs="Calibri"/>
      </w:rPr>
      <w:t>Alpinou</w:t>
    </w:r>
    <w:proofErr w:type="spellEnd"/>
    <w:r w:rsidR="005E4065">
      <w:rPr>
        <w:rFonts w:ascii="Calibri" w:hAnsi="Calibri" w:cs="Calibri"/>
      </w:rPr>
      <w:t xml:space="preserve"> 2</w:t>
    </w:r>
    <w:r w:rsidR="005E4065" w:rsidRPr="005A35A9">
      <w:rPr>
        <w:rFonts w:ascii="Calibri" w:hAnsi="Calibri" w:cs="Calibri"/>
      </w:rPr>
      <w:t>“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4584C" w:rsidRDefault="0014584C">
    <w:pPr>
      <w:pStyle w:val="Zhlav"/>
    </w:pPr>
    <w:r>
      <w:tab/>
    </w:r>
    <w:r>
      <w:tab/>
    </w:r>
    <w:r w:rsidR="002614B4">
      <w:rPr>
        <w:rFonts w:ascii="Calibri" w:hAnsi="Calibri" w:cs="Calibri"/>
      </w:rPr>
      <w:t>stavba</w:t>
    </w:r>
    <w:r w:rsidR="002614B4" w:rsidRPr="005A35A9">
      <w:rPr>
        <w:rFonts w:ascii="Calibri" w:hAnsi="Calibri" w:cs="Calibri"/>
      </w:rPr>
      <w:t xml:space="preserve">: </w:t>
    </w:r>
    <w:r w:rsidR="002614B4">
      <w:rPr>
        <w:rFonts w:ascii="Calibri" w:hAnsi="Calibri" w:cs="Calibri"/>
      </w:rPr>
      <w:t xml:space="preserve">Lesní cesta </w:t>
    </w:r>
    <w:r w:rsidR="002614B4" w:rsidRPr="005A35A9">
      <w:rPr>
        <w:rFonts w:ascii="Calibri" w:hAnsi="Calibri" w:cs="Calibri"/>
      </w:rPr>
      <w:t>„</w:t>
    </w:r>
    <w:r w:rsidR="005E4065">
      <w:rPr>
        <w:rFonts w:ascii="Calibri" w:hAnsi="Calibri" w:cs="Calibri"/>
      </w:rPr>
      <w:t xml:space="preserve">Nad </w:t>
    </w:r>
    <w:proofErr w:type="spellStart"/>
    <w:r w:rsidR="005E4065">
      <w:rPr>
        <w:rFonts w:ascii="Calibri" w:hAnsi="Calibri" w:cs="Calibri"/>
      </w:rPr>
      <w:t>Alpinou</w:t>
    </w:r>
    <w:proofErr w:type="spellEnd"/>
    <w:r w:rsidR="005E4065">
      <w:rPr>
        <w:rFonts w:ascii="Calibri" w:hAnsi="Calibri" w:cs="Calibri"/>
      </w:rPr>
      <w:t xml:space="preserve"> 2</w:t>
    </w:r>
    <w:r w:rsidR="002614B4" w:rsidRPr="005A35A9">
      <w:rPr>
        <w:rFonts w:ascii="Calibri" w:hAnsi="Calibri" w:cs="Calibri"/>
      </w:rPr>
      <w:t>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65C575D"/>
    <w:multiLevelType w:val="hybridMultilevel"/>
    <w:tmpl w:val="28F80BAA"/>
    <w:lvl w:ilvl="0" w:tplc="47BEB7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7F856BFA"/>
    <w:multiLevelType w:val="hybridMultilevel"/>
    <w:tmpl w:val="2C422D64"/>
    <w:lvl w:ilvl="0" w:tplc="7C1470C8">
      <w:start w:val="1"/>
      <w:numFmt w:val="lowerLetter"/>
      <w:lvlText w:val="%1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43D2"/>
    <w:rsid w:val="00023D8C"/>
    <w:rsid w:val="000268F5"/>
    <w:rsid w:val="00035C33"/>
    <w:rsid w:val="00045CDB"/>
    <w:rsid w:val="000520C5"/>
    <w:rsid w:val="000664C6"/>
    <w:rsid w:val="00067FD9"/>
    <w:rsid w:val="0008341E"/>
    <w:rsid w:val="00090B89"/>
    <w:rsid w:val="000956D0"/>
    <w:rsid w:val="000A0D27"/>
    <w:rsid w:val="000B3D37"/>
    <w:rsid w:val="000C5749"/>
    <w:rsid w:val="000D2CE7"/>
    <w:rsid w:val="000E228A"/>
    <w:rsid w:val="000F4EA3"/>
    <w:rsid w:val="00112E44"/>
    <w:rsid w:val="00124F22"/>
    <w:rsid w:val="00134DBE"/>
    <w:rsid w:val="00142C20"/>
    <w:rsid w:val="00145573"/>
    <w:rsid w:val="0014584C"/>
    <w:rsid w:val="001605AB"/>
    <w:rsid w:val="0016683F"/>
    <w:rsid w:val="00184E57"/>
    <w:rsid w:val="001936A9"/>
    <w:rsid w:val="002070BE"/>
    <w:rsid w:val="002416F8"/>
    <w:rsid w:val="0025796B"/>
    <w:rsid w:val="002614B4"/>
    <w:rsid w:val="0026768E"/>
    <w:rsid w:val="00283CF5"/>
    <w:rsid w:val="0029345F"/>
    <w:rsid w:val="0029502C"/>
    <w:rsid w:val="00296821"/>
    <w:rsid w:val="002A3177"/>
    <w:rsid w:val="002A7D56"/>
    <w:rsid w:val="002B2CCC"/>
    <w:rsid w:val="002C7751"/>
    <w:rsid w:val="002D4524"/>
    <w:rsid w:val="002E7987"/>
    <w:rsid w:val="002F4A7E"/>
    <w:rsid w:val="002F4B90"/>
    <w:rsid w:val="0030267F"/>
    <w:rsid w:val="00307CBB"/>
    <w:rsid w:val="0031241B"/>
    <w:rsid w:val="00327F55"/>
    <w:rsid w:val="00335D11"/>
    <w:rsid w:val="00342513"/>
    <w:rsid w:val="0036073D"/>
    <w:rsid w:val="003624B8"/>
    <w:rsid w:val="00377400"/>
    <w:rsid w:val="00386358"/>
    <w:rsid w:val="00393666"/>
    <w:rsid w:val="00393E98"/>
    <w:rsid w:val="003B023E"/>
    <w:rsid w:val="003B2149"/>
    <w:rsid w:val="003B2FF5"/>
    <w:rsid w:val="003B65D4"/>
    <w:rsid w:val="003C6A4B"/>
    <w:rsid w:val="003E0689"/>
    <w:rsid w:val="003E5EFD"/>
    <w:rsid w:val="003E703E"/>
    <w:rsid w:val="004231DE"/>
    <w:rsid w:val="0042536B"/>
    <w:rsid w:val="00430AE5"/>
    <w:rsid w:val="00443024"/>
    <w:rsid w:val="004535E5"/>
    <w:rsid w:val="00453E90"/>
    <w:rsid w:val="00462282"/>
    <w:rsid w:val="004739FB"/>
    <w:rsid w:val="00484D24"/>
    <w:rsid w:val="004A20AD"/>
    <w:rsid w:val="004A7748"/>
    <w:rsid w:val="004B57D4"/>
    <w:rsid w:val="004C191D"/>
    <w:rsid w:val="004C4E0B"/>
    <w:rsid w:val="004D23C5"/>
    <w:rsid w:val="004D302C"/>
    <w:rsid w:val="004D4870"/>
    <w:rsid w:val="00502CB6"/>
    <w:rsid w:val="005051C7"/>
    <w:rsid w:val="00540896"/>
    <w:rsid w:val="005506D9"/>
    <w:rsid w:val="00554576"/>
    <w:rsid w:val="00555AA3"/>
    <w:rsid w:val="00557517"/>
    <w:rsid w:val="00560C3C"/>
    <w:rsid w:val="00566A4B"/>
    <w:rsid w:val="00594496"/>
    <w:rsid w:val="005A3C42"/>
    <w:rsid w:val="005C2F65"/>
    <w:rsid w:val="005E4065"/>
    <w:rsid w:val="005F3F04"/>
    <w:rsid w:val="005F43D2"/>
    <w:rsid w:val="005F6743"/>
    <w:rsid w:val="00600307"/>
    <w:rsid w:val="00603071"/>
    <w:rsid w:val="00603132"/>
    <w:rsid w:val="00611342"/>
    <w:rsid w:val="00611F07"/>
    <w:rsid w:val="0061603F"/>
    <w:rsid w:val="00626227"/>
    <w:rsid w:val="00633524"/>
    <w:rsid w:val="00664F46"/>
    <w:rsid w:val="006709AA"/>
    <w:rsid w:val="006807D6"/>
    <w:rsid w:val="00687833"/>
    <w:rsid w:val="00695A4D"/>
    <w:rsid w:val="006977F7"/>
    <w:rsid w:val="006A1373"/>
    <w:rsid w:val="006A1F71"/>
    <w:rsid w:val="006A2B7A"/>
    <w:rsid w:val="006C1CF1"/>
    <w:rsid w:val="006E5651"/>
    <w:rsid w:val="00701010"/>
    <w:rsid w:val="00711F1D"/>
    <w:rsid w:val="0072165B"/>
    <w:rsid w:val="0072690F"/>
    <w:rsid w:val="007352ED"/>
    <w:rsid w:val="00736182"/>
    <w:rsid w:val="007474D1"/>
    <w:rsid w:val="00755A43"/>
    <w:rsid w:val="00766449"/>
    <w:rsid w:val="00767D12"/>
    <w:rsid w:val="00772D28"/>
    <w:rsid w:val="00777EF4"/>
    <w:rsid w:val="007819D0"/>
    <w:rsid w:val="007826BB"/>
    <w:rsid w:val="0078425D"/>
    <w:rsid w:val="00785A60"/>
    <w:rsid w:val="00786CE3"/>
    <w:rsid w:val="00786D0E"/>
    <w:rsid w:val="007A7178"/>
    <w:rsid w:val="007C122B"/>
    <w:rsid w:val="007C1E8B"/>
    <w:rsid w:val="007C4E04"/>
    <w:rsid w:val="007C56AD"/>
    <w:rsid w:val="007E1CF7"/>
    <w:rsid w:val="007F297D"/>
    <w:rsid w:val="007F768B"/>
    <w:rsid w:val="008003D5"/>
    <w:rsid w:val="00801CC5"/>
    <w:rsid w:val="008153EB"/>
    <w:rsid w:val="00822F6B"/>
    <w:rsid w:val="00830D07"/>
    <w:rsid w:val="00836895"/>
    <w:rsid w:val="00847EF3"/>
    <w:rsid w:val="00860F08"/>
    <w:rsid w:val="00875065"/>
    <w:rsid w:val="008A3ED7"/>
    <w:rsid w:val="008D00A8"/>
    <w:rsid w:val="008E1C72"/>
    <w:rsid w:val="008E45E4"/>
    <w:rsid w:val="008F2762"/>
    <w:rsid w:val="008F3AFB"/>
    <w:rsid w:val="009017C0"/>
    <w:rsid w:val="0090444B"/>
    <w:rsid w:val="00905298"/>
    <w:rsid w:val="009337FA"/>
    <w:rsid w:val="0093591A"/>
    <w:rsid w:val="009541C3"/>
    <w:rsid w:val="009675FA"/>
    <w:rsid w:val="009745B0"/>
    <w:rsid w:val="00993BCD"/>
    <w:rsid w:val="009B00A1"/>
    <w:rsid w:val="009B1EA2"/>
    <w:rsid w:val="009B759C"/>
    <w:rsid w:val="009E7C56"/>
    <w:rsid w:val="00A012DB"/>
    <w:rsid w:val="00A56F5C"/>
    <w:rsid w:val="00A67C72"/>
    <w:rsid w:val="00A81244"/>
    <w:rsid w:val="00AA214C"/>
    <w:rsid w:val="00AB2F04"/>
    <w:rsid w:val="00AB4C09"/>
    <w:rsid w:val="00AD480E"/>
    <w:rsid w:val="00B1065A"/>
    <w:rsid w:val="00B3340E"/>
    <w:rsid w:val="00B55D7A"/>
    <w:rsid w:val="00B67626"/>
    <w:rsid w:val="00B87060"/>
    <w:rsid w:val="00B87EFB"/>
    <w:rsid w:val="00B914FD"/>
    <w:rsid w:val="00B926F9"/>
    <w:rsid w:val="00BA607D"/>
    <w:rsid w:val="00BA77E2"/>
    <w:rsid w:val="00BB1A6E"/>
    <w:rsid w:val="00BD69E9"/>
    <w:rsid w:val="00BD6F0D"/>
    <w:rsid w:val="00BE2E24"/>
    <w:rsid w:val="00BE5B16"/>
    <w:rsid w:val="00BF4F97"/>
    <w:rsid w:val="00C01FE8"/>
    <w:rsid w:val="00C027AA"/>
    <w:rsid w:val="00C11985"/>
    <w:rsid w:val="00C12F66"/>
    <w:rsid w:val="00C25B38"/>
    <w:rsid w:val="00C46C76"/>
    <w:rsid w:val="00C519F9"/>
    <w:rsid w:val="00C549BF"/>
    <w:rsid w:val="00C6473D"/>
    <w:rsid w:val="00C85D72"/>
    <w:rsid w:val="00CA4E17"/>
    <w:rsid w:val="00CB1548"/>
    <w:rsid w:val="00CB6CDB"/>
    <w:rsid w:val="00CC7CA9"/>
    <w:rsid w:val="00CF0AE3"/>
    <w:rsid w:val="00CF0F6F"/>
    <w:rsid w:val="00D14706"/>
    <w:rsid w:val="00D16CEE"/>
    <w:rsid w:val="00D34CE5"/>
    <w:rsid w:val="00D411B8"/>
    <w:rsid w:val="00D669DF"/>
    <w:rsid w:val="00D82BA8"/>
    <w:rsid w:val="00DA4213"/>
    <w:rsid w:val="00DB0851"/>
    <w:rsid w:val="00DC6079"/>
    <w:rsid w:val="00DD53BA"/>
    <w:rsid w:val="00DE2F95"/>
    <w:rsid w:val="00DE63FC"/>
    <w:rsid w:val="00E52DA0"/>
    <w:rsid w:val="00E91CAC"/>
    <w:rsid w:val="00EC141F"/>
    <w:rsid w:val="00EC6C09"/>
    <w:rsid w:val="00ED037A"/>
    <w:rsid w:val="00ED6E3A"/>
    <w:rsid w:val="00EE5949"/>
    <w:rsid w:val="00EE59D2"/>
    <w:rsid w:val="00EE6673"/>
    <w:rsid w:val="00EF013B"/>
    <w:rsid w:val="00F067B1"/>
    <w:rsid w:val="00F541B4"/>
    <w:rsid w:val="00F5713B"/>
    <w:rsid w:val="00F833EC"/>
    <w:rsid w:val="00F922C7"/>
    <w:rsid w:val="00F975A0"/>
    <w:rsid w:val="00FA3C5E"/>
    <w:rsid w:val="00FB4C92"/>
    <w:rsid w:val="00FD1624"/>
    <w:rsid w:val="00FD4585"/>
    <w:rsid w:val="00FF5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2F79E4"/>
  <w15:docId w15:val="{2BD805EE-AD3A-4CD9-9512-2A98589881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47EF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">
    <w:name w:val="Body Text Indent"/>
    <w:basedOn w:val="Normln"/>
    <w:link w:val="ZkladntextodsazenChar"/>
    <w:semiHidden/>
    <w:rsid w:val="00847EF3"/>
    <w:pPr>
      <w:spacing w:line="480" w:lineRule="atLeast"/>
      <w:ind w:left="340"/>
      <w:jc w:val="both"/>
    </w:pPr>
    <w:rPr>
      <w:snapToGrid w:val="0"/>
    </w:rPr>
  </w:style>
  <w:style w:type="paragraph" w:styleId="Zkladntextodsazen2">
    <w:name w:val="Body Text Indent 2"/>
    <w:basedOn w:val="Normln"/>
    <w:semiHidden/>
    <w:rsid w:val="00847EF3"/>
    <w:pPr>
      <w:tabs>
        <w:tab w:val="left" w:pos="0"/>
        <w:tab w:val="left" w:pos="9072"/>
      </w:tabs>
      <w:spacing w:line="480" w:lineRule="atLeast"/>
      <w:ind w:left="9072"/>
      <w:jc w:val="both"/>
    </w:pPr>
    <w:rPr>
      <w:snapToGrid w:val="0"/>
    </w:rPr>
  </w:style>
  <w:style w:type="paragraph" w:styleId="Rozloendokumentu">
    <w:name w:val="Document Map"/>
    <w:basedOn w:val="Normln"/>
    <w:semiHidden/>
    <w:rsid w:val="00847EF3"/>
    <w:pPr>
      <w:shd w:val="clear" w:color="auto" w:fill="000080"/>
    </w:pPr>
    <w:rPr>
      <w:rFonts w:ascii="Tahoma" w:hAnsi="Tahoma"/>
    </w:rPr>
  </w:style>
  <w:style w:type="paragraph" w:styleId="Zhlav">
    <w:name w:val="header"/>
    <w:basedOn w:val="Normln"/>
    <w:semiHidden/>
    <w:rsid w:val="00847EF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847EF3"/>
  </w:style>
  <w:style w:type="paragraph" w:styleId="Zpat">
    <w:name w:val="footer"/>
    <w:basedOn w:val="Normln"/>
    <w:link w:val="ZpatChar"/>
    <w:uiPriority w:val="99"/>
    <w:rsid w:val="00847EF3"/>
    <w:pPr>
      <w:tabs>
        <w:tab w:val="center" w:pos="4536"/>
        <w:tab w:val="right" w:pos="9072"/>
      </w:tabs>
    </w:pPr>
  </w:style>
  <w:style w:type="paragraph" w:styleId="Zkladntextodsazen3">
    <w:name w:val="Body Text Indent 3"/>
    <w:basedOn w:val="Normln"/>
    <w:link w:val="Zkladntextodsazen3Char"/>
    <w:semiHidden/>
    <w:rsid w:val="00847EF3"/>
    <w:pPr>
      <w:spacing w:line="480" w:lineRule="atLeast"/>
      <w:ind w:left="340" w:firstLine="369"/>
      <w:jc w:val="both"/>
    </w:pPr>
    <w:rPr>
      <w:snapToGrid w:val="0"/>
      <w:u w:val="single"/>
    </w:rPr>
  </w:style>
  <w:style w:type="character" w:customStyle="1" w:styleId="ZkladntextodsazenChar">
    <w:name w:val="Základní text odsazený Char"/>
    <w:basedOn w:val="Standardnpsmoodstavce"/>
    <w:link w:val="Zkladntextodsazen"/>
    <w:semiHidden/>
    <w:rsid w:val="00EF013B"/>
    <w:rPr>
      <w:snapToGrid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D4585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4585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067FD9"/>
    <w:pPr>
      <w:ind w:left="720"/>
      <w:contextualSpacing/>
    </w:pPr>
    <w:rPr>
      <w:sz w:val="24"/>
      <w:szCs w:val="24"/>
      <w:vertAlign w:val="superscript"/>
    </w:rPr>
  </w:style>
  <w:style w:type="character" w:customStyle="1" w:styleId="ZpatChar">
    <w:name w:val="Zápatí Char"/>
    <w:basedOn w:val="Standardnpsmoodstavce"/>
    <w:link w:val="Zpat"/>
    <w:uiPriority w:val="99"/>
    <w:rsid w:val="00C12F66"/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14584C"/>
    <w:rPr>
      <w:snapToGrid w:val="0"/>
      <w:u w:val="single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55D7A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B55D7A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93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2</Pages>
  <Words>390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</vt:lpstr>
    </vt:vector>
  </TitlesOfParts>
  <Company>PROLIS</Company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</dc:title>
  <dc:creator>Vopata</dc:creator>
  <cp:lastModifiedBy>Jiří Ježek</cp:lastModifiedBy>
  <cp:revision>40</cp:revision>
  <cp:lastPrinted>2014-01-27T14:59:00Z</cp:lastPrinted>
  <dcterms:created xsi:type="dcterms:W3CDTF">2015-07-24T06:32:00Z</dcterms:created>
  <dcterms:modified xsi:type="dcterms:W3CDTF">2018-01-17T14:24:00Z</dcterms:modified>
</cp:coreProperties>
</file>